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F8A1B" w14:textId="77777777" w:rsidR="00603AEF" w:rsidRPr="00866AB4" w:rsidRDefault="00603AEF" w:rsidP="00603AEF">
      <w:pPr>
        <w:ind w:left="5040"/>
        <w:rPr>
          <w:rFonts w:eastAsia="Calibri"/>
          <w:i/>
          <w:sz w:val="22"/>
          <w:szCs w:val="22"/>
          <w:lang w:eastAsia="en-US"/>
        </w:rPr>
      </w:pPr>
      <w:r w:rsidRPr="00866AB4">
        <w:rPr>
          <w:rFonts w:eastAsia="Calibri"/>
          <w:sz w:val="24"/>
          <w:szCs w:val="24"/>
          <w:lang w:eastAsia="en-US"/>
        </w:rPr>
        <w:t>УТВЕРЖДЕНА</w:t>
      </w:r>
    </w:p>
    <w:p w14:paraId="5B91FB5C" w14:textId="77777777" w:rsidR="00603AEF" w:rsidRPr="00866AB4" w:rsidRDefault="00603AEF" w:rsidP="00603AEF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866AB4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14:paraId="0A64D231" w14:textId="77777777" w:rsidR="00603AEF" w:rsidRPr="00866AB4" w:rsidRDefault="00603AEF" w:rsidP="00603AEF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866AB4">
        <w:rPr>
          <w:rFonts w:eastAsia="Calibri"/>
          <w:sz w:val="24"/>
          <w:szCs w:val="24"/>
          <w:lang w:eastAsia="en-US"/>
        </w:rPr>
        <w:t>Тихвинского района</w:t>
      </w:r>
    </w:p>
    <w:p w14:paraId="58E04624" w14:textId="77777777" w:rsidR="00603AEF" w:rsidRPr="00866AB4" w:rsidRDefault="00603AEF" w:rsidP="00603AEF">
      <w:pPr>
        <w:ind w:left="5040"/>
        <w:jc w:val="left"/>
        <w:rPr>
          <w:rFonts w:eastAsia="Calibri"/>
          <w:sz w:val="24"/>
          <w:szCs w:val="24"/>
          <w:lang w:eastAsia="en-US"/>
        </w:rPr>
      </w:pPr>
      <w:bookmarkStart w:id="0" w:name="_Hlk212884304"/>
      <w:r w:rsidRPr="00866AB4">
        <w:rPr>
          <w:rFonts w:eastAsia="Calibri"/>
          <w:sz w:val="24"/>
          <w:szCs w:val="24"/>
          <w:lang w:eastAsia="en-US"/>
        </w:rPr>
        <w:t xml:space="preserve">от </w:t>
      </w:r>
      <w:r>
        <w:rPr>
          <w:rFonts w:eastAsia="Calibri"/>
          <w:sz w:val="24"/>
          <w:szCs w:val="24"/>
          <w:lang w:eastAsia="en-US"/>
        </w:rPr>
        <w:t>1 ноября 2025 г. №01-2923-а</w:t>
      </w:r>
    </w:p>
    <w:bookmarkEnd w:id="0"/>
    <w:p w14:paraId="2EEFB097" w14:textId="77777777" w:rsidR="00603AEF" w:rsidRPr="00866AB4" w:rsidRDefault="00603AEF" w:rsidP="00603AEF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866AB4">
        <w:rPr>
          <w:rFonts w:eastAsia="Calibri"/>
          <w:sz w:val="24"/>
          <w:szCs w:val="24"/>
          <w:lang w:eastAsia="en-US"/>
        </w:rPr>
        <w:t>(приложение)</w:t>
      </w:r>
    </w:p>
    <w:p w14:paraId="3C565EB5" w14:textId="77777777" w:rsidR="00603AEF" w:rsidRPr="00866AB4" w:rsidRDefault="00603AEF" w:rsidP="00603AEF">
      <w:pPr>
        <w:jc w:val="center"/>
        <w:rPr>
          <w:rFonts w:eastAsia="Calibri"/>
          <w:sz w:val="24"/>
          <w:szCs w:val="24"/>
          <w:lang w:eastAsia="en-US"/>
        </w:rPr>
      </w:pPr>
    </w:p>
    <w:p w14:paraId="587C1507" w14:textId="77777777" w:rsidR="00603AEF" w:rsidRPr="00AB3748" w:rsidRDefault="00603AEF" w:rsidP="00603AEF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МУНИЦИПАЛЬНАЯ ПРОГРАММА </w:t>
      </w:r>
    </w:p>
    <w:p w14:paraId="2B3F8E21" w14:textId="77777777" w:rsidR="00603AEF" w:rsidRPr="00AB3748" w:rsidRDefault="00603AEF" w:rsidP="00603AEF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</w:t>
      </w:r>
    </w:p>
    <w:p w14:paraId="403C40A2" w14:textId="77777777" w:rsidR="00603AEF" w:rsidRPr="00AB3748" w:rsidRDefault="00603AEF" w:rsidP="00603A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>«ОРГАНИЗАЦИЯ БЛАГОУСТРОЙСТВА ТЕРРИТОРИИ НАСЕЛЁННЫХ ПУНКТОВ ТИХВИНСКОГО ГОРОДСКОГО ПОСЕЛЕНИЯ»</w:t>
      </w:r>
    </w:p>
    <w:p w14:paraId="62886CFA" w14:textId="77777777" w:rsidR="00603AEF" w:rsidRPr="00AB3748" w:rsidRDefault="00603AEF" w:rsidP="00603A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26C9A2C4" w14:textId="77777777" w:rsidR="00603AEF" w:rsidRPr="00AB3748" w:rsidRDefault="00603AEF" w:rsidP="00603AEF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ПАСПОРТ </w:t>
      </w:r>
    </w:p>
    <w:p w14:paraId="2075FAEB" w14:textId="77777777" w:rsidR="00603AEF" w:rsidRPr="00AB3748" w:rsidRDefault="00603AEF" w:rsidP="00603A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</w:t>
      </w:r>
      <w:r w:rsidRPr="00AB374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</w:t>
      </w:r>
      <w:r w:rsidRPr="00AB3748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6927C84F" w14:textId="77777777" w:rsidR="00603AEF" w:rsidRPr="00AB3748" w:rsidRDefault="00603AEF" w:rsidP="00603A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>«Организация благоустройства</w:t>
      </w:r>
      <w:r w:rsidRPr="00AB374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>территории населённых пунктов</w:t>
      </w:r>
      <w:r w:rsidRPr="00AB3748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363C6EB8" w14:textId="77777777" w:rsidR="00603AEF" w:rsidRDefault="00603AEF" w:rsidP="00603A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AB3748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городского поселения»</w:t>
      </w:r>
      <w:r w:rsidRPr="00AB3748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3AF462DD" w14:textId="77777777" w:rsidR="00603AEF" w:rsidRPr="00AB3748" w:rsidRDefault="00603AEF" w:rsidP="00603A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9236" w:type="dxa"/>
        <w:tblInd w:w="-3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2"/>
        <w:gridCol w:w="5554"/>
      </w:tblGrid>
      <w:tr w:rsidR="00603AEF" w:rsidRPr="00AB3748" w14:paraId="5248A111" w14:textId="77777777" w:rsidTr="005243F9">
        <w:trPr>
          <w:trHeight w:val="556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8250" w14:textId="77777777" w:rsidR="00603AEF" w:rsidRPr="00AB3748" w:rsidRDefault="00603AEF" w:rsidP="005243F9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2296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2026-2028 годы </w:t>
            </w:r>
          </w:p>
        </w:tc>
      </w:tr>
      <w:tr w:rsidR="00603AEF" w:rsidRPr="00AB3748" w14:paraId="1E16975F" w14:textId="77777777" w:rsidTr="005243F9">
        <w:trPr>
          <w:trHeight w:val="842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7FB71" w14:textId="77777777" w:rsidR="00603AEF" w:rsidRPr="00AB3748" w:rsidRDefault="00603AEF" w:rsidP="005243F9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F7F8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жилищно-коммунального хозяйства администрации Тихвинского района (далее - комитет ЖКХ) </w:t>
            </w:r>
          </w:p>
        </w:tc>
      </w:tr>
      <w:tr w:rsidR="00603AEF" w:rsidRPr="00AB3748" w14:paraId="695C25FD" w14:textId="77777777" w:rsidTr="005243F9">
        <w:trPr>
          <w:trHeight w:val="1113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ECC7" w14:textId="77777777" w:rsidR="00603AEF" w:rsidRPr="00AB3748" w:rsidRDefault="00603AEF" w:rsidP="00213640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8341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о</w:t>
            </w: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тдел по строительству администрации Тихвинского района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77614334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о</w:t>
            </w: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тдел коммуна</w:t>
            </w:r>
            <w:bookmarkStart w:id="1" w:name="_GoBack"/>
            <w:bookmarkEnd w:id="1"/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льного хозяйства администрации Тихвинского района </w:t>
            </w:r>
          </w:p>
        </w:tc>
      </w:tr>
      <w:tr w:rsidR="00603AEF" w:rsidRPr="00AB3748" w14:paraId="106793BB" w14:textId="77777777" w:rsidTr="005243F9">
        <w:trPr>
          <w:trHeight w:val="1113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3DBE" w14:textId="77777777" w:rsidR="00603AEF" w:rsidRPr="00AB3748" w:rsidRDefault="00603AEF" w:rsidP="00213640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F6BE7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- отдел по строительству;</w:t>
            </w:r>
          </w:p>
          <w:p w14:paraId="332B5A81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- МБУ «Зеленый город»;</w:t>
            </w:r>
          </w:p>
          <w:p w14:paraId="213BDBAF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- МКУ «Специализированная служба Тихвинского района»</w:t>
            </w:r>
          </w:p>
        </w:tc>
      </w:tr>
      <w:tr w:rsidR="00603AEF" w:rsidRPr="00AB3748" w14:paraId="6E06D000" w14:textId="77777777" w:rsidTr="005243F9">
        <w:trPr>
          <w:trHeight w:val="270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2786" w14:textId="77777777" w:rsidR="00603AEF" w:rsidRPr="00AB3748" w:rsidRDefault="00603AEF" w:rsidP="005243F9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4189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Повышение качества и комфорта городской среды </w:t>
            </w:r>
          </w:p>
        </w:tc>
      </w:tr>
      <w:tr w:rsidR="00603AEF" w:rsidRPr="00AB3748" w14:paraId="27C3A8FA" w14:textId="77777777" w:rsidTr="005243F9">
        <w:trPr>
          <w:trHeight w:val="3325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88CA" w14:textId="77777777" w:rsidR="00603AEF" w:rsidRPr="00AB3748" w:rsidRDefault="00603AEF" w:rsidP="005243F9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Задачи муниципальной программы</w:t>
            </w:r>
          </w:p>
          <w:p w14:paraId="769A595D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3687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1. Повышение уровня благоустройства дворовых и общественных территорий</w:t>
            </w:r>
          </w:p>
          <w:p w14:paraId="6B2FA8B0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2. Организация реконструкции и создания новых объектов озеленения.</w:t>
            </w:r>
          </w:p>
          <w:p w14:paraId="1E676B5D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3. Организация содержания и обустройства элементов территорий общего пользования.</w:t>
            </w:r>
          </w:p>
          <w:p w14:paraId="008E9958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4. Организация уборки мусора, сбора и вывоза с территорий твёрдых коммунальных отходов (ТКО), их дальнейшая утилизация.</w:t>
            </w:r>
          </w:p>
          <w:p w14:paraId="799D6E2D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5. Организация похоронного дела.</w:t>
            </w:r>
          </w:p>
          <w:p w14:paraId="2798B0CE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6. Устройство, содержание и ремонт сети ливневой канализации </w:t>
            </w:r>
          </w:p>
        </w:tc>
      </w:tr>
      <w:tr w:rsidR="00603AEF" w:rsidRPr="00AB3748" w14:paraId="118D34CB" w14:textId="77777777" w:rsidTr="005243F9">
        <w:trPr>
          <w:trHeight w:val="1113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4601" w14:textId="77777777" w:rsidR="00603AEF" w:rsidRPr="00AB3748" w:rsidRDefault="00603AEF" w:rsidP="00213640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5D44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проведение 3 экологических субботника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288EEFCB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- ремонт 30 детских игровых комплексов и спортивных площадок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0E91FC6A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- вывоз прочих и строительных отходов – 300 т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603AEF" w:rsidRPr="00AB3748" w14:paraId="7F02686A" w14:textId="77777777" w:rsidTr="005243F9">
        <w:trPr>
          <w:trHeight w:val="842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F11C1" w14:textId="77777777" w:rsidR="00603AEF" w:rsidRPr="00AB3748" w:rsidRDefault="00603AEF" w:rsidP="005243F9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1A4A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>В рамках программы реализуются мероприятия, направленные на достижение целей регионального проекта «Формирование комфортной городской среды»</w:t>
            </w:r>
          </w:p>
        </w:tc>
      </w:tr>
      <w:tr w:rsidR="00603AEF" w:rsidRPr="00AB3748" w14:paraId="50CCB6CA" w14:textId="77777777" w:rsidTr="005243F9">
        <w:trPr>
          <w:trHeight w:val="1113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9B0E" w14:textId="77777777" w:rsidR="00603AEF" w:rsidRPr="00AB3748" w:rsidRDefault="00603AEF" w:rsidP="005243F9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14F8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финансового обеспечения реализации </w:t>
            </w:r>
            <w:r w:rsidRPr="00AB3748">
              <w:rPr>
                <w:rFonts w:eastAsia="Calibri"/>
                <w:sz w:val="24"/>
                <w:szCs w:val="24"/>
                <w:lang w:eastAsia="en-US"/>
              </w:rPr>
              <w:t xml:space="preserve">муниципальной программы составляет </w:t>
            </w:r>
            <w:r w:rsidRPr="00AB374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435 715,20 тыс. руб.</w:t>
            </w:r>
            <w:r w:rsidRPr="00AB3748">
              <w:rPr>
                <w:rFonts w:eastAsia="Calibri"/>
                <w:sz w:val="24"/>
                <w:szCs w:val="24"/>
                <w:lang w:eastAsia="en-US"/>
              </w:rPr>
              <w:t>, из них:</w:t>
            </w: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3382405E" w14:textId="77777777" w:rsidR="00603AEF" w:rsidRPr="00AB3748" w:rsidRDefault="00603AEF" w:rsidP="005243F9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sz w:val="24"/>
                <w:szCs w:val="24"/>
                <w:lang w:eastAsia="en-US"/>
              </w:rPr>
              <w:t>- 2026 году – 150 686,60 тыс. руб.;</w:t>
            </w:r>
          </w:p>
          <w:p w14:paraId="26EC1A8F" w14:textId="77777777" w:rsidR="00603AEF" w:rsidRPr="00AB3748" w:rsidRDefault="00603AEF" w:rsidP="005243F9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sz w:val="24"/>
                <w:szCs w:val="24"/>
                <w:lang w:eastAsia="en-US"/>
              </w:rPr>
              <w:t>- 2027 году – 142 514,30 тыс. руб.;</w:t>
            </w:r>
          </w:p>
          <w:p w14:paraId="4AC3B392" w14:textId="77777777" w:rsidR="00603AEF" w:rsidRPr="00AB3748" w:rsidRDefault="00603AEF" w:rsidP="005243F9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sz w:val="24"/>
                <w:szCs w:val="24"/>
                <w:lang w:eastAsia="en-US"/>
              </w:rPr>
              <w:t>- 2028 году – 142 514,30</w:t>
            </w:r>
            <w:r w:rsidRPr="00AB374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AB3748">
              <w:rPr>
                <w:rFonts w:eastAsia="Calibri"/>
                <w:sz w:val="24"/>
                <w:szCs w:val="24"/>
                <w:lang w:eastAsia="en-US"/>
              </w:rPr>
              <w:t>тыс. руб.</w:t>
            </w:r>
          </w:p>
        </w:tc>
      </w:tr>
      <w:tr w:rsidR="00603AEF" w:rsidRPr="00AB3748" w14:paraId="69239BC7" w14:textId="77777777" w:rsidTr="005243F9">
        <w:trPr>
          <w:trHeight w:val="1113"/>
        </w:trPr>
        <w:tc>
          <w:tcPr>
            <w:tcW w:w="3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398D" w14:textId="77777777" w:rsidR="00603AEF" w:rsidRPr="00AB3748" w:rsidRDefault="00603AEF" w:rsidP="005243F9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Размер налоговых расходов, направленных на достижение цели муниципальной программы, всего, в т.ч. по годам реализации </w:t>
            </w:r>
          </w:p>
        </w:tc>
        <w:tc>
          <w:tcPr>
            <w:tcW w:w="5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ABB7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51F96EFC" w14:textId="77777777" w:rsidR="00603AEF" w:rsidRPr="00AB3748" w:rsidRDefault="00603AEF" w:rsidP="005243F9">
            <w:pPr>
              <w:ind w:firstLine="225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B374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4D0BB174" w14:textId="77777777" w:rsidR="00752D27" w:rsidRPr="00603AEF" w:rsidRDefault="00752D27" w:rsidP="00603AEF">
      <w:pPr>
        <w:rPr>
          <w:rFonts w:eastAsia="Calibri"/>
        </w:rPr>
      </w:pPr>
    </w:p>
    <w:sectPr w:rsidR="00752D27" w:rsidRPr="00603AEF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29FE"/>
    <w:rsid w:val="00137667"/>
    <w:rsid w:val="001464B2"/>
    <w:rsid w:val="001A2440"/>
    <w:rsid w:val="001B4F8D"/>
    <w:rsid w:val="001F265D"/>
    <w:rsid w:val="00213640"/>
    <w:rsid w:val="00285D0C"/>
    <w:rsid w:val="002A2B11"/>
    <w:rsid w:val="002F22EB"/>
    <w:rsid w:val="00326996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03AEF"/>
    <w:rsid w:val="006415B0"/>
    <w:rsid w:val="006463D8"/>
    <w:rsid w:val="00691E4F"/>
    <w:rsid w:val="006D326A"/>
    <w:rsid w:val="006F37AF"/>
    <w:rsid w:val="00711921"/>
    <w:rsid w:val="00727DA3"/>
    <w:rsid w:val="00752D27"/>
    <w:rsid w:val="00796BD1"/>
    <w:rsid w:val="008A3858"/>
    <w:rsid w:val="008F13D4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4</cp:revision>
  <cp:lastPrinted>2023-11-13T13:51:00Z</cp:lastPrinted>
  <dcterms:created xsi:type="dcterms:W3CDTF">2025-11-11T12:01:00Z</dcterms:created>
  <dcterms:modified xsi:type="dcterms:W3CDTF">2025-11-11T12:50:00Z</dcterms:modified>
</cp:coreProperties>
</file>